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1D743" w14:textId="6D0F1209" w:rsidR="004D1A4C" w:rsidRPr="00CD4DE5" w:rsidRDefault="004D1A4C" w:rsidP="004D1A4C">
      <w:pPr>
        <w:rPr>
          <w:b/>
          <w:bCs/>
          <w:sz w:val="24"/>
          <w:szCs w:val="24"/>
        </w:rPr>
      </w:pPr>
      <w:r w:rsidRPr="00CD4DE5">
        <w:rPr>
          <w:b/>
          <w:bCs/>
          <w:sz w:val="24"/>
          <w:szCs w:val="24"/>
        </w:rPr>
        <w:t>Request by the Cricket Club to place mobile nets on a permanent basis at Hill Green</w:t>
      </w:r>
      <w:r w:rsidR="00CD4DE5">
        <w:rPr>
          <w:b/>
          <w:bCs/>
          <w:sz w:val="24"/>
          <w:szCs w:val="24"/>
        </w:rPr>
        <w:t>, notes from CPC</w:t>
      </w:r>
      <w:bookmarkStart w:id="0" w:name="_GoBack"/>
      <w:bookmarkEnd w:id="0"/>
      <w:r w:rsidRPr="00CD4DE5">
        <w:rPr>
          <w:b/>
          <w:bCs/>
          <w:sz w:val="24"/>
          <w:szCs w:val="24"/>
        </w:rPr>
        <w:t>.</w:t>
      </w:r>
    </w:p>
    <w:p w14:paraId="3484C250" w14:textId="0EEFFDFA" w:rsidR="004D1A4C" w:rsidRPr="00CD4DE5" w:rsidRDefault="004D1A4C" w:rsidP="004D1A4C">
      <w:pPr>
        <w:rPr>
          <w:sz w:val="24"/>
          <w:szCs w:val="24"/>
        </w:rPr>
      </w:pPr>
      <w:r w:rsidRPr="00CD4DE5">
        <w:rPr>
          <w:sz w:val="24"/>
          <w:szCs w:val="24"/>
        </w:rPr>
        <w:t>The Our Common Land Book published by the Open Spaces Society (page101) states that Section 29 of the Commons Act 1876 overlaps with section 12 of the 1857 Act. It states that the provision of facilities to assist in the enjoyment of recreation is not in breach of this section dealing with permanent encroachment or enclosure. Examples given include tennis courts, cricket nets, goal posts, seats and shelters.</w:t>
      </w:r>
    </w:p>
    <w:p w14:paraId="641F3D0C" w14:textId="27EF1C97" w:rsidR="004D1A4C" w:rsidRPr="00CD4DE5" w:rsidRDefault="004D1A4C" w:rsidP="004D1A4C">
      <w:pPr>
        <w:rPr>
          <w:sz w:val="24"/>
          <w:szCs w:val="24"/>
        </w:rPr>
      </w:pPr>
      <w:r w:rsidRPr="00CD4DE5">
        <w:rPr>
          <w:sz w:val="24"/>
          <w:szCs w:val="24"/>
        </w:rPr>
        <w:t>The Parish Council's Tenancy Agreement on Upper Hill Green (1949) provides under section 2 that the Tenanc</w:t>
      </w:r>
      <w:r w:rsidRPr="00CD4DE5">
        <w:rPr>
          <w:sz w:val="24"/>
          <w:szCs w:val="24"/>
        </w:rPr>
        <w:t>y</w:t>
      </w:r>
      <w:r w:rsidRPr="00CD4DE5">
        <w:rPr>
          <w:sz w:val="24"/>
          <w:szCs w:val="24"/>
        </w:rPr>
        <w:t xml:space="preserve"> hereby covenant with the Lessors</w:t>
      </w:r>
      <w:r w:rsidRPr="00CD4DE5">
        <w:rPr>
          <w:sz w:val="24"/>
          <w:szCs w:val="24"/>
        </w:rPr>
        <w:t>:</w:t>
      </w:r>
      <w:r w:rsidRPr="00CD4DE5">
        <w:rPr>
          <w:sz w:val="24"/>
          <w:szCs w:val="24"/>
        </w:rPr>
        <w:t xml:space="preserve">  </w:t>
      </w:r>
    </w:p>
    <w:p w14:paraId="1D75D8DE" w14:textId="77777777" w:rsidR="004D1A4C" w:rsidRPr="00CD4DE5" w:rsidRDefault="004D1A4C" w:rsidP="004D1A4C">
      <w:pPr>
        <w:rPr>
          <w:sz w:val="24"/>
          <w:szCs w:val="24"/>
        </w:rPr>
      </w:pPr>
      <w:r w:rsidRPr="00CD4DE5">
        <w:rPr>
          <w:sz w:val="24"/>
          <w:szCs w:val="24"/>
        </w:rPr>
        <w:t>ii) That the Tenants will use the said premises or permit the same to be used only as a cricket and football field and recreation ground and for athletic sports or for playing other games and also for grazing cattle horses and sheep.</w:t>
      </w:r>
    </w:p>
    <w:p w14:paraId="18D53ED1" w14:textId="1B288C3F" w:rsidR="004D1A4C" w:rsidRPr="00CD4DE5" w:rsidRDefault="004D1A4C" w:rsidP="004D1A4C">
      <w:pPr>
        <w:rPr>
          <w:sz w:val="24"/>
          <w:szCs w:val="24"/>
        </w:rPr>
      </w:pPr>
      <w:r w:rsidRPr="00CD4DE5">
        <w:rPr>
          <w:sz w:val="24"/>
          <w:szCs w:val="24"/>
        </w:rPr>
        <w:t>iv) That the Tenants will not erect any buildings on the said premises except a pavilion and other sheds or buildings required for the purpose of such games as aforesaid.</w:t>
      </w:r>
    </w:p>
    <w:p w14:paraId="6AC7F226" w14:textId="7D9919FC" w:rsidR="004D1A4C" w:rsidRPr="00CD4DE5" w:rsidRDefault="004D1A4C" w:rsidP="004D1A4C">
      <w:pPr>
        <w:rPr>
          <w:sz w:val="24"/>
          <w:szCs w:val="24"/>
        </w:rPr>
      </w:pPr>
      <w:r w:rsidRPr="00CD4DE5">
        <w:rPr>
          <w:sz w:val="24"/>
          <w:szCs w:val="24"/>
        </w:rPr>
        <w:t>(This agreement predates the area being registered as Village Green</w:t>
      </w:r>
      <w:r w:rsidRPr="00CD4DE5">
        <w:rPr>
          <w:sz w:val="24"/>
          <w:szCs w:val="24"/>
        </w:rPr>
        <w:t>)</w:t>
      </w:r>
      <w:r w:rsidRPr="00CD4DE5">
        <w:rPr>
          <w:sz w:val="24"/>
          <w:szCs w:val="24"/>
        </w:rPr>
        <w:t xml:space="preserve">. </w:t>
      </w:r>
    </w:p>
    <w:p w14:paraId="13A18827" w14:textId="50AEF580" w:rsidR="004D1A4C" w:rsidRPr="00CD4DE5" w:rsidRDefault="004D1A4C" w:rsidP="004D1A4C">
      <w:pPr>
        <w:rPr>
          <w:sz w:val="24"/>
          <w:szCs w:val="24"/>
        </w:rPr>
      </w:pPr>
      <w:r w:rsidRPr="00CD4DE5">
        <w:rPr>
          <w:sz w:val="24"/>
          <w:szCs w:val="24"/>
        </w:rPr>
        <w:t>If the mobile cage is regarded as a temporary net cage.</w:t>
      </w:r>
    </w:p>
    <w:p w14:paraId="36F10CD2" w14:textId="77777777" w:rsidR="004D1A4C" w:rsidRPr="00CD4DE5" w:rsidRDefault="004D1A4C" w:rsidP="004D1A4C">
      <w:pPr>
        <w:rPr>
          <w:sz w:val="24"/>
          <w:szCs w:val="24"/>
        </w:rPr>
      </w:pPr>
      <w:r w:rsidRPr="00CD4DE5">
        <w:rPr>
          <w:sz w:val="24"/>
          <w:szCs w:val="24"/>
        </w:rPr>
        <w:t>This would need to be wholly the responsibility of the cricket club regards its safety as they would be placing it on Parish Leased Land.</w:t>
      </w:r>
    </w:p>
    <w:p w14:paraId="5885A729" w14:textId="77777777" w:rsidR="004D1A4C" w:rsidRPr="00CD4DE5" w:rsidRDefault="004D1A4C" w:rsidP="004D1A4C">
      <w:pPr>
        <w:rPr>
          <w:sz w:val="24"/>
          <w:szCs w:val="24"/>
        </w:rPr>
      </w:pPr>
      <w:r w:rsidRPr="00CD4DE5">
        <w:rPr>
          <w:sz w:val="24"/>
          <w:szCs w:val="24"/>
        </w:rPr>
        <w:t>There would be no insurable interest for the Parish Council.</w:t>
      </w:r>
    </w:p>
    <w:p w14:paraId="1A6AA5B1" w14:textId="77777777" w:rsidR="004D1A4C" w:rsidRPr="00CD4DE5" w:rsidRDefault="004D1A4C" w:rsidP="004D1A4C">
      <w:pPr>
        <w:rPr>
          <w:sz w:val="24"/>
          <w:szCs w:val="24"/>
        </w:rPr>
      </w:pPr>
      <w:r w:rsidRPr="00CD4DE5">
        <w:rPr>
          <w:sz w:val="24"/>
          <w:szCs w:val="24"/>
        </w:rPr>
        <w:t xml:space="preserve">The Parish Council would expect to see the Cricket Club Committee and Members give assurances and undertakings that they will maintain the net cage and keep it safe for use and that any injuries to persons or to any property which arise from the net or the use of the net by members of the cricket club and also the general public, who have recreational rights on the village green, will be covered by the public liability insurance of the cricket club and will not be for the account of the Parish Council. </w:t>
      </w:r>
    </w:p>
    <w:p w14:paraId="5F4D4763" w14:textId="3EFBAF9B" w:rsidR="004D1A4C" w:rsidRPr="00CD4DE5" w:rsidRDefault="004D1A4C" w:rsidP="004D1A4C">
      <w:pPr>
        <w:rPr>
          <w:sz w:val="24"/>
          <w:szCs w:val="24"/>
        </w:rPr>
      </w:pPr>
      <w:r w:rsidRPr="00CD4DE5">
        <w:rPr>
          <w:sz w:val="24"/>
          <w:szCs w:val="24"/>
        </w:rPr>
        <w:t>(The Parish Council resolved previously that they would not cover insurance of items placed on village greens/parish land by other organisations.)</w:t>
      </w:r>
    </w:p>
    <w:p w14:paraId="6B461741" w14:textId="26E4FB70" w:rsidR="004D1A4C" w:rsidRPr="00CD4DE5" w:rsidRDefault="004D1A4C" w:rsidP="004D1A4C">
      <w:pPr>
        <w:rPr>
          <w:sz w:val="24"/>
          <w:szCs w:val="24"/>
        </w:rPr>
      </w:pPr>
      <w:r w:rsidRPr="00CD4DE5">
        <w:rPr>
          <w:sz w:val="24"/>
          <w:szCs w:val="24"/>
        </w:rPr>
        <w:t>I</w:t>
      </w:r>
      <w:r w:rsidR="00CD4DE5" w:rsidRPr="00CD4DE5">
        <w:rPr>
          <w:sz w:val="24"/>
          <w:szCs w:val="24"/>
        </w:rPr>
        <w:t>f</w:t>
      </w:r>
      <w:r w:rsidRPr="00CD4DE5">
        <w:rPr>
          <w:sz w:val="24"/>
          <w:szCs w:val="24"/>
        </w:rPr>
        <w:t xml:space="preserve"> the mobile cage is regarded as a permanent net cage as it is not able to be dismantled after use</w:t>
      </w:r>
      <w:r w:rsidR="00CD4DE5" w:rsidRPr="00CD4DE5">
        <w:rPr>
          <w:sz w:val="24"/>
          <w:szCs w:val="24"/>
        </w:rPr>
        <w:t>, a</w:t>
      </w:r>
      <w:r w:rsidRPr="00CD4DE5">
        <w:rPr>
          <w:sz w:val="24"/>
          <w:szCs w:val="24"/>
        </w:rPr>
        <w:t>ll the above would apply.</w:t>
      </w:r>
    </w:p>
    <w:p w14:paraId="7AF70B1A" w14:textId="398EB7C0" w:rsidR="004D1A4C" w:rsidRPr="00CD4DE5" w:rsidRDefault="004D1A4C" w:rsidP="004D1A4C">
      <w:pPr>
        <w:rPr>
          <w:sz w:val="24"/>
          <w:szCs w:val="24"/>
        </w:rPr>
      </w:pPr>
      <w:r w:rsidRPr="00CD4DE5">
        <w:rPr>
          <w:sz w:val="24"/>
          <w:szCs w:val="24"/>
        </w:rPr>
        <w:t>Further the Cricket Club Committee would be responsible for ascertaining with UDC whether any planning permission must be obtained as Upper Hill Green is in the Conservation Area and there are nearby dwellings.</w:t>
      </w:r>
    </w:p>
    <w:p w14:paraId="7271D343" w14:textId="77777777" w:rsidR="004D1A4C" w:rsidRPr="00CD4DE5" w:rsidRDefault="004D1A4C" w:rsidP="004D1A4C">
      <w:pPr>
        <w:rPr>
          <w:sz w:val="24"/>
          <w:szCs w:val="24"/>
        </w:rPr>
      </w:pPr>
      <w:r w:rsidRPr="00CD4DE5">
        <w:rPr>
          <w:sz w:val="24"/>
          <w:szCs w:val="24"/>
        </w:rPr>
        <w:t>The Cricket Club Committee would be responsible for all costs relating to the planning advice/permissions in this regard.</w:t>
      </w:r>
    </w:p>
    <w:p w14:paraId="2D1C8A86" w14:textId="3FC2707B" w:rsidR="004D1A4C" w:rsidRPr="00CD4DE5" w:rsidRDefault="004D1A4C" w:rsidP="004D1A4C">
      <w:pPr>
        <w:rPr>
          <w:sz w:val="24"/>
          <w:szCs w:val="24"/>
        </w:rPr>
      </w:pPr>
      <w:r w:rsidRPr="00CD4DE5">
        <w:rPr>
          <w:sz w:val="24"/>
          <w:szCs w:val="24"/>
        </w:rPr>
        <w:t xml:space="preserve">Under the Town &amp; Town and Country Planning Act 1990 a net with 'permanent fixings' is considered a structure and therefore a building.      </w:t>
      </w:r>
    </w:p>
    <w:p w14:paraId="3AFAFD90" w14:textId="5A55716F" w:rsidR="004D1A4C" w:rsidRPr="00CD4DE5" w:rsidRDefault="00CD4DE5" w:rsidP="004D1A4C">
      <w:pPr>
        <w:rPr>
          <w:sz w:val="24"/>
          <w:szCs w:val="24"/>
        </w:rPr>
      </w:pPr>
      <w:r w:rsidRPr="00CD4DE5">
        <w:rPr>
          <w:sz w:val="24"/>
          <w:szCs w:val="24"/>
        </w:rPr>
        <w:lastRenderedPageBreak/>
        <w:t xml:space="preserve">Details of </w:t>
      </w:r>
      <w:r w:rsidR="004D1A4C" w:rsidRPr="00CD4DE5">
        <w:rPr>
          <w:sz w:val="24"/>
          <w:szCs w:val="24"/>
        </w:rPr>
        <w:t xml:space="preserve">a cricket net needing </w:t>
      </w:r>
      <w:r w:rsidRPr="00CD4DE5">
        <w:rPr>
          <w:sz w:val="24"/>
          <w:szCs w:val="24"/>
        </w:rPr>
        <w:t xml:space="preserve">planning </w:t>
      </w:r>
      <w:r w:rsidR="004D1A4C" w:rsidRPr="00CD4DE5">
        <w:rPr>
          <w:sz w:val="24"/>
          <w:szCs w:val="24"/>
        </w:rPr>
        <w:t>permission</w:t>
      </w:r>
      <w:r w:rsidRPr="00CD4DE5">
        <w:rPr>
          <w:sz w:val="24"/>
          <w:szCs w:val="24"/>
        </w:rPr>
        <w:t>:</w:t>
      </w:r>
      <w:r w:rsidR="004D1A4C" w:rsidRPr="00CD4DE5">
        <w:rPr>
          <w:sz w:val="24"/>
          <w:szCs w:val="24"/>
        </w:rPr>
        <w:t xml:space="preserve"> </w:t>
      </w:r>
    </w:p>
    <w:p w14:paraId="287174CD" w14:textId="1AED8AE4" w:rsidR="00CD4DE5" w:rsidRPr="00CD4DE5" w:rsidRDefault="00CD4DE5" w:rsidP="004D1A4C">
      <w:pPr>
        <w:rPr>
          <w:sz w:val="24"/>
          <w:szCs w:val="24"/>
        </w:rPr>
      </w:pPr>
      <w:hyperlink r:id="rId4" w:history="1">
        <w:r w:rsidRPr="00CD4DE5">
          <w:rPr>
            <w:rStyle w:val="Hyperlink"/>
            <w:sz w:val="24"/>
            <w:szCs w:val="24"/>
          </w:rPr>
          <w:t>https://www.holmes-hills.co.uk/news/2019/april/home-improvements-and-the-planning-laws-surrounding-them/</w:t>
        </w:r>
      </w:hyperlink>
    </w:p>
    <w:sectPr w:rsidR="00CD4DE5" w:rsidRPr="00CD4D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A4C"/>
    <w:rsid w:val="004D1A4C"/>
    <w:rsid w:val="0056679A"/>
    <w:rsid w:val="00CD4D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4C8DD"/>
  <w15:chartTrackingRefBased/>
  <w15:docId w15:val="{77F644C5-9AAE-45BC-9111-5DDAA39AB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4DE5"/>
    <w:rPr>
      <w:color w:val="0563C1" w:themeColor="hyperlink"/>
      <w:u w:val="single"/>
    </w:rPr>
  </w:style>
  <w:style w:type="character" w:styleId="UnresolvedMention">
    <w:name w:val="Unresolved Mention"/>
    <w:basedOn w:val="DefaultParagraphFont"/>
    <w:uiPriority w:val="99"/>
    <w:semiHidden/>
    <w:unhideWhenUsed/>
    <w:rsid w:val="00CD4D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holmes-hills.co.uk/news/2019/april/home-improvements-and-the-planning-laws-surrounding-th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2021-07-07T13:48:00Z</dcterms:created>
  <dcterms:modified xsi:type="dcterms:W3CDTF">2021-07-07T14:18:00Z</dcterms:modified>
</cp:coreProperties>
</file>